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0FE65" w14:textId="6E91A551" w:rsidR="0048226D" w:rsidRDefault="00FC506B" w:rsidP="0070434F">
      <w:pPr>
        <w:spacing w:after="0"/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DECLARACION DE COMPROMISO</w:t>
      </w:r>
      <w:r w:rsidR="0070434F">
        <w:rPr>
          <w:b/>
          <w:sz w:val="24"/>
          <w:lang w:val="es-ES_tradnl"/>
        </w:rPr>
        <w:t xml:space="preserve"> ENTRE</w:t>
      </w:r>
    </w:p>
    <w:p w14:paraId="446C5F01" w14:textId="77777777" w:rsidR="0070434F" w:rsidRDefault="0070434F" w:rsidP="0070434F">
      <w:pPr>
        <w:spacing w:after="0"/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EL REINO DE ESPAÑA</w:t>
      </w:r>
      <w:r w:rsidR="00B26846">
        <w:rPr>
          <w:b/>
          <w:sz w:val="24"/>
          <w:lang w:val="es-ES_tradnl"/>
        </w:rPr>
        <w:t xml:space="preserve"> Y LA REPÚBLICA ARGENTINA</w:t>
      </w:r>
    </w:p>
    <w:p w14:paraId="0C857BF0" w14:textId="77777777" w:rsidR="0070434F" w:rsidRDefault="0070434F" w:rsidP="0070434F">
      <w:pPr>
        <w:spacing w:after="0"/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PARA EL INTERCAMBIO DE DOCUMENTACIÓN DE ARCHIVOS DIPLOMÁTICOS</w:t>
      </w:r>
    </w:p>
    <w:p w14:paraId="77F0601B" w14:textId="77777777" w:rsidR="0070434F" w:rsidRDefault="0070434F" w:rsidP="0070434F">
      <w:pPr>
        <w:spacing w:after="0"/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PARA EL ESCLARECIMIENTO DE GRAVES VIOLACIONES</w:t>
      </w:r>
    </w:p>
    <w:p w14:paraId="5BA3D54E" w14:textId="77777777" w:rsidR="0070434F" w:rsidRDefault="0070434F" w:rsidP="0070434F">
      <w:pPr>
        <w:spacing w:after="0"/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A LOS DERECHOS HUMANOS</w:t>
      </w:r>
    </w:p>
    <w:p w14:paraId="373B07F3" w14:textId="77777777" w:rsidR="0070434F" w:rsidRDefault="0070434F" w:rsidP="0070434F">
      <w:pPr>
        <w:spacing w:after="0"/>
        <w:jc w:val="center"/>
        <w:rPr>
          <w:b/>
          <w:sz w:val="24"/>
          <w:lang w:val="es-ES_tradnl"/>
        </w:rPr>
      </w:pPr>
    </w:p>
    <w:p w14:paraId="6EACBD5B" w14:textId="77777777" w:rsidR="0070434F" w:rsidRDefault="00B26846" w:rsidP="00A644BA">
      <w:pPr>
        <w:spacing w:after="0"/>
        <w:ind w:firstLine="567"/>
        <w:jc w:val="both"/>
        <w:rPr>
          <w:sz w:val="24"/>
          <w:lang w:val="es-ES_tradnl"/>
        </w:rPr>
      </w:pPr>
      <w:r>
        <w:rPr>
          <w:sz w:val="24"/>
          <w:lang w:val="es-ES_tradnl"/>
        </w:rPr>
        <w:t>El Reino de España y la República Argentina</w:t>
      </w:r>
      <w:r w:rsidR="0070434F">
        <w:rPr>
          <w:sz w:val="24"/>
          <w:lang w:val="es-ES_tradnl"/>
        </w:rPr>
        <w:t xml:space="preserve">, en adelante denominados “los Participantes”, con el deseo de brindar un marco para la cooperación y el intercambio de documentación para la investigación que permita el esclarecimiento de graves violaciones a los derechos humanos ocurridas durante la interrupción del orden institucional en el pasado reciente de la </w:t>
      </w:r>
      <w:r w:rsidR="003C7B60">
        <w:rPr>
          <w:sz w:val="24"/>
          <w:lang w:val="es-ES_tradnl"/>
        </w:rPr>
        <w:t xml:space="preserve">República </w:t>
      </w:r>
      <w:r w:rsidR="0070434F">
        <w:rPr>
          <w:sz w:val="24"/>
          <w:lang w:val="es-ES_tradnl"/>
        </w:rPr>
        <w:t>Argentina,</w:t>
      </w:r>
    </w:p>
    <w:p w14:paraId="73E94238" w14:textId="77777777" w:rsidR="0070434F" w:rsidRDefault="0070434F" w:rsidP="0070434F">
      <w:pPr>
        <w:spacing w:after="0"/>
        <w:jc w:val="both"/>
        <w:rPr>
          <w:sz w:val="24"/>
          <w:lang w:val="es-ES_tradnl"/>
        </w:rPr>
      </w:pPr>
    </w:p>
    <w:p w14:paraId="569E496A" w14:textId="77777777" w:rsidR="0070434F" w:rsidRDefault="0070434F" w:rsidP="00A644BA">
      <w:pPr>
        <w:spacing w:after="0"/>
        <w:ind w:firstLine="567"/>
        <w:jc w:val="both"/>
        <w:rPr>
          <w:sz w:val="24"/>
          <w:lang w:val="es-ES_tradnl"/>
        </w:rPr>
      </w:pPr>
      <w:r>
        <w:rPr>
          <w:sz w:val="24"/>
          <w:lang w:val="es-ES_tradnl"/>
        </w:rPr>
        <w:t>CONSIDERANDO</w:t>
      </w:r>
      <w:r w:rsidR="00A644BA">
        <w:rPr>
          <w:sz w:val="24"/>
          <w:lang w:val="es-ES_tradnl"/>
        </w:rPr>
        <w:t>:</w:t>
      </w:r>
    </w:p>
    <w:p w14:paraId="11735714" w14:textId="77777777" w:rsidR="0070434F" w:rsidRDefault="0070434F" w:rsidP="0070434F">
      <w:pPr>
        <w:spacing w:after="0"/>
        <w:jc w:val="both"/>
        <w:rPr>
          <w:sz w:val="24"/>
          <w:lang w:val="es-ES_tradnl"/>
        </w:rPr>
      </w:pPr>
    </w:p>
    <w:p w14:paraId="10E05F81" w14:textId="77777777" w:rsidR="0070434F" w:rsidRDefault="0070434F" w:rsidP="00A644BA">
      <w:pPr>
        <w:spacing w:after="0"/>
        <w:ind w:firstLine="567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Que </w:t>
      </w:r>
      <w:r w:rsidR="007C1ABC">
        <w:rPr>
          <w:sz w:val="24"/>
          <w:lang w:val="es-ES_tradnl"/>
        </w:rPr>
        <w:t>el Reino de España y la República Argentina</w:t>
      </w:r>
      <w:r>
        <w:rPr>
          <w:sz w:val="24"/>
          <w:lang w:val="es-ES_tradnl"/>
        </w:rPr>
        <w:t xml:space="preserve"> comparten un firme compromiso en materia de promoción y protección de los derechos humanos;</w:t>
      </w:r>
    </w:p>
    <w:p w14:paraId="0ABC850C" w14:textId="77777777" w:rsidR="0070434F" w:rsidRDefault="0070434F" w:rsidP="00A644BA">
      <w:pPr>
        <w:spacing w:after="0"/>
        <w:ind w:firstLine="567"/>
        <w:jc w:val="both"/>
        <w:rPr>
          <w:sz w:val="24"/>
          <w:lang w:val="es-ES_tradnl"/>
        </w:rPr>
      </w:pPr>
    </w:p>
    <w:p w14:paraId="7D48E523" w14:textId="77777777" w:rsidR="0070434F" w:rsidRDefault="0070434F" w:rsidP="00A644BA">
      <w:pPr>
        <w:spacing w:after="0"/>
        <w:ind w:firstLine="567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Que </w:t>
      </w:r>
      <w:r w:rsidR="003C7B60">
        <w:rPr>
          <w:sz w:val="24"/>
          <w:lang w:val="es-ES_tradnl"/>
        </w:rPr>
        <w:t xml:space="preserve">el Reino de </w:t>
      </w:r>
      <w:r>
        <w:rPr>
          <w:sz w:val="24"/>
          <w:lang w:val="es-ES_tradnl"/>
        </w:rPr>
        <w:t xml:space="preserve">España acogió a exiliados argentinos que debieron huir durante la dictadura cívico-militar en </w:t>
      </w:r>
      <w:r w:rsidR="003C7B60">
        <w:rPr>
          <w:sz w:val="24"/>
          <w:lang w:val="es-ES_tradnl"/>
        </w:rPr>
        <w:t xml:space="preserve">la República </w:t>
      </w:r>
      <w:r>
        <w:rPr>
          <w:sz w:val="24"/>
          <w:lang w:val="es-ES_tradnl"/>
        </w:rPr>
        <w:t>Argentina, quienes recibieron apoyo para reclamar por justicia;</w:t>
      </w:r>
    </w:p>
    <w:p w14:paraId="708B705D" w14:textId="77777777" w:rsidR="0070434F" w:rsidRDefault="0070434F" w:rsidP="00A644BA">
      <w:pPr>
        <w:spacing w:after="0"/>
        <w:ind w:firstLine="567"/>
        <w:jc w:val="both"/>
        <w:rPr>
          <w:sz w:val="24"/>
          <w:lang w:val="es-ES_tradnl"/>
        </w:rPr>
      </w:pPr>
    </w:p>
    <w:p w14:paraId="30629B58" w14:textId="647FF409" w:rsidR="0070434F" w:rsidRDefault="0070434F" w:rsidP="00A644BA">
      <w:pPr>
        <w:spacing w:after="0"/>
        <w:ind w:firstLine="567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Que </w:t>
      </w:r>
      <w:r w:rsidR="00F46D33">
        <w:rPr>
          <w:sz w:val="24"/>
          <w:lang w:val="es-ES_tradnl"/>
        </w:rPr>
        <w:t xml:space="preserve">el </w:t>
      </w:r>
      <w:r w:rsidR="007C1ABC">
        <w:rPr>
          <w:sz w:val="24"/>
          <w:lang w:val="es-ES_tradnl"/>
        </w:rPr>
        <w:t xml:space="preserve">Reino de España y la República Argentina </w:t>
      </w:r>
      <w:r>
        <w:rPr>
          <w:sz w:val="24"/>
          <w:lang w:val="es-ES_tradnl"/>
        </w:rPr>
        <w:t xml:space="preserve">otorgan una gran importancia a las Resoluciones relativas a las Desapariciones Forzadas, al mandato del Grupo de Trabajo </w:t>
      </w:r>
      <w:r w:rsidR="00764060">
        <w:rPr>
          <w:sz w:val="24"/>
          <w:lang w:val="es-ES_tradnl"/>
        </w:rPr>
        <w:t xml:space="preserve">sobre </w:t>
      </w:r>
      <w:r>
        <w:rPr>
          <w:sz w:val="24"/>
          <w:lang w:val="es-ES_tradnl"/>
        </w:rPr>
        <w:t>Desapariciones Forzadas e Involuntarias y a la Convención Internacional para la Protección de todas las Personas contra las Desapariciones Forzadas, aprobada en 2006 por la Asamblea General de Naciones Unidas, de la que ambos países son Parte;</w:t>
      </w:r>
    </w:p>
    <w:p w14:paraId="51EE46AD" w14:textId="77777777" w:rsidR="0070434F" w:rsidRDefault="0070434F" w:rsidP="00A644BA">
      <w:pPr>
        <w:spacing w:after="0"/>
        <w:ind w:firstLine="567"/>
        <w:jc w:val="both"/>
        <w:rPr>
          <w:sz w:val="24"/>
          <w:lang w:val="es-ES_tradnl"/>
        </w:rPr>
      </w:pPr>
    </w:p>
    <w:p w14:paraId="3D1A2E2B" w14:textId="77777777" w:rsidR="0070434F" w:rsidRDefault="0070434F" w:rsidP="00A644BA">
      <w:pPr>
        <w:spacing w:after="0"/>
        <w:ind w:firstLine="567"/>
        <w:jc w:val="both"/>
        <w:rPr>
          <w:sz w:val="24"/>
          <w:lang w:val="es-ES_tradnl"/>
        </w:rPr>
      </w:pPr>
      <w:r>
        <w:rPr>
          <w:sz w:val="24"/>
          <w:lang w:val="es-ES_tradnl"/>
        </w:rPr>
        <w:t>Que dicha Convención reconoce que la desaparición forzada constituye un crimen y, en determinadas c</w:t>
      </w:r>
      <w:r w:rsidR="00A644BA">
        <w:rPr>
          <w:sz w:val="24"/>
          <w:lang w:val="es-ES_tradnl"/>
        </w:rPr>
        <w:t>ircunstancias definidas por el Derecho I</w:t>
      </w:r>
      <w:r>
        <w:rPr>
          <w:sz w:val="24"/>
          <w:lang w:val="es-ES_tradnl"/>
        </w:rPr>
        <w:t>nternacional, un crimen de lesa humanidad;</w:t>
      </w:r>
    </w:p>
    <w:p w14:paraId="306A00DD" w14:textId="77777777" w:rsidR="0070434F" w:rsidRDefault="0070434F" w:rsidP="00A644BA">
      <w:pPr>
        <w:spacing w:after="0"/>
        <w:ind w:firstLine="567"/>
        <w:jc w:val="both"/>
        <w:rPr>
          <w:sz w:val="24"/>
          <w:lang w:val="es-ES_tradnl"/>
        </w:rPr>
      </w:pPr>
    </w:p>
    <w:p w14:paraId="6DAFDE92" w14:textId="77777777" w:rsidR="0070434F" w:rsidRDefault="0070434F" w:rsidP="00A644BA">
      <w:pPr>
        <w:spacing w:after="0"/>
        <w:ind w:firstLine="567"/>
        <w:jc w:val="both"/>
        <w:rPr>
          <w:sz w:val="24"/>
          <w:lang w:val="es-ES_tradnl"/>
        </w:rPr>
      </w:pPr>
      <w:r>
        <w:rPr>
          <w:sz w:val="24"/>
          <w:lang w:val="es-ES_tradnl"/>
        </w:rPr>
        <w:t>Que dicha Convención reafirma el derecho a la verdad, la justicia y la reparación de las víctimas;</w:t>
      </w:r>
    </w:p>
    <w:p w14:paraId="0EFA8166" w14:textId="77777777" w:rsidR="0070434F" w:rsidRDefault="0070434F" w:rsidP="00A644BA">
      <w:pPr>
        <w:spacing w:after="0"/>
        <w:ind w:firstLine="567"/>
        <w:jc w:val="both"/>
        <w:rPr>
          <w:sz w:val="24"/>
          <w:lang w:val="es-ES_tradnl"/>
        </w:rPr>
      </w:pPr>
    </w:p>
    <w:p w14:paraId="3B42F15C" w14:textId="77777777" w:rsidR="0070434F" w:rsidRDefault="0070434F" w:rsidP="00A644BA">
      <w:pPr>
        <w:spacing w:after="0"/>
        <w:ind w:firstLine="567"/>
        <w:jc w:val="both"/>
        <w:rPr>
          <w:sz w:val="24"/>
          <w:lang w:val="es-ES_tradnl"/>
        </w:rPr>
      </w:pPr>
      <w:r>
        <w:rPr>
          <w:sz w:val="24"/>
          <w:lang w:val="es-ES_tradnl"/>
        </w:rPr>
        <w:t>Que ambos Participantes asignan importancia a la obtención de documentos que permitan el esclarecimiento de hechos violatorios de los derechos humanos en el pasado reciente, así como a la histórica cooperación en materia de esclarecimiento de casos de desaparición forzada de personas y otras graves violaciones de los derechos humanos;</w:t>
      </w:r>
    </w:p>
    <w:p w14:paraId="12321EF5" w14:textId="77777777" w:rsidR="0070434F" w:rsidRDefault="0070434F" w:rsidP="0070434F">
      <w:pPr>
        <w:spacing w:after="0"/>
        <w:jc w:val="both"/>
        <w:rPr>
          <w:sz w:val="24"/>
          <w:lang w:val="es-ES_tradnl"/>
        </w:rPr>
      </w:pPr>
    </w:p>
    <w:p w14:paraId="27DA49E3" w14:textId="77777777" w:rsidR="0070434F" w:rsidRDefault="0070434F" w:rsidP="00A644BA">
      <w:pPr>
        <w:spacing w:after="0"/>
        <w:ind w:firstLine="567"/>
        <w:jc w:val="both"/>
        <w:rPr>
          <w:sz w:val="24"/>
          <w:lang w:val="es-ES_tradnl"/>
        </w:rPr>
      </w:pPr>
      <w:r>
        <w:rPr>
          <w:sz w:val="24"/>
          <w:lang w:val="es-ES_tradnl"/>
        </w:rPr>
        <w:t>ACUERDAN</w:t>
      </w:r>
      <w:r w:rsidR="00A644BA">
        <w:rPr>
          <w:sz w:val="24"/>
          <w:lang w:val="es-ES_tradnl"/>
        </w:rPr>
        <w:t>:</w:t>
      </w:r>
    </w:p>
    <w:p w14:paraId="7C515BBC" w14:textId="77777777" w:rsidR="0070434F" w:rsidRDefault="0070434F" w:rsidP="0070434F">
      <w:pPr>
        <w:spacing w:after="0"/>
        <w:jc w:val="both"/>
        <w:rPr>
          <w:sz w:val="24"/>
          <w:lang w:val="es-ES_tradnl"/>
        </w:rPr>
      </w:pPr>
    </w:p>
    <w:p w14:paraId="30A5826B" w14:textId="77777777" w:rsidR="001A3C97" w:rsidRDefault="001A3C97" w:rsidP="0070434F">
      <w:pPr>
        <w:spacing w:after="0"/>
        <w:jc w:val="both"/>
        <w:rPr>
          <w:sz w:val="24"/>
          <w:lang w:val="es-ES_tradnl"/>
        </w:rPr>
      </w:pPr>
      <w:bookmarkStart w:id="0" w:name="_GoBack"/>
      <w:bookmarkEnd w:id="0"/>
    </w:p>
    <w:p w14:paraId="58392612" w14:textId="77777777" w:rsidR="0070434F" w:rsidRDefault="003C7B60" w:rsidP="0070434F">
      <w:pPr>
        <w:spacing w:after="0"/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Párrafo</w:t>
      </w:r>
      <w:r w:rsidR="00625226">
        <w:rPr>
          <w:b/>
          <w:sz w:val="24"/>
          <w:lang w:val="es-ES_tradnl"/>
        </w:rPr>
        <w:t xml:space="preserve"> I</w:t>
      </w:r>
    </w:p>
    <w:p w14:paraId="2376543C" w14:textId="77777777" w:rsidR="0070434F" w:rsidRDefault="0070434F" w:rsidP="0070434F">
      <w:pPr>
        <w:spacing w:after="0"/>
        <w:jc w:val="center"/>
        <w:rPr>
          <w:sz w:val="24"/>
          <w:lang w:val="es-ES_tradnl"/>
        </w:rPr>
      </w:pPr>
      <w:r>
        <w:rPr>
          <w:b/>
          <w:sz w:val="24"/>
          <w:lang w:val="es-ES_tradnl"/>
        </w:rPr>
        <w:lastRenderedPageBreak/>
        <w:t>Definiciones generales</w:t>
      </w:r>
    </w:p>
    <w:p w14:paraId="0D8A5785" w14:textId="77777777" w:rsidR="0070434F" w:rsidRDefault="0070434F" w:rsidP="0070434F">
      <w:pPr>
        <w:spacing w:after="0"/>
        <w:jc w:val="center"/>
        <w:rPr>
          <w:sz w:val="24"/>
          <w:lang w:val="es-ES_tradnl"/>
        </w:rPr>
      </w:pPr>
    </w:p>
    <w:p w14:paraId="0F4C3501" w14:textId="2EA31EE3" w:rsidR="0070434F" w:rsidRDefault="0070434F" w:rsidP="0070434F">
      <w:pPr>
        <w:spacing w:after="0"/>
        <w:jc w:val="both"/>
        <w:rPr>
          <w:sz w:val="24"/>
          <w:lang w:val="es-ES_tradnl"/>
        </w:rPr>
      </w:pPr>
      <w:r w:rsidRPr="0070434F">
        <w:rPr>
          <w:sz w:val="24"/>
          <w:lang w:val="es-ES_tradnl"/>
        </w:rPr>
        <w:t>1.</w:t>
      </w:r>
      <w:r>
        <w:rPr>
          <w:sz w:val="24"/>
          <w:lang w:val="es-ES_tradnl"/>
        </w:rPr>
        <w:t xml:space="preserve"> En el marco de</w:t>
      </w:r>
      <w:r w:rsidR="007467B4">
        <w:rPr>
          <w:sz w:val="24"/>
          <w:lang w:val="es-ES_tradnl"/>
        </w:rPr>
        <w:t xml:space="preserve"> </w:t>
      </w:r>
      <w:r>
        <w:rPr>
          <w:sz w:val="24"/>
          <w:lang w:val="es-ES_tradnl"/>
        </w:rPr>
        <w:t>l</w:t>
      </w:r>
      <w:r w:rsidR="007467B4">
        <w:rPr>
          <w:sz w:val="24"/>
          <w:lang w:val="es-ES_tradnl"/>
        </w:rPr>
        <w:t>a</w:t>
      </w:r>
      <w:r>
        <w:rPr>
          <w:sz w:val="24"/>
          <w:lang w:val="es-ES_tradnl"/>
        </w:rPr>
        <w:t xml:space="preserve"> presente</w:t>
      </w:r>
      <w:r w:rsidR="007467B4">
        <w:rPr>
          <w:sz w:val="24"/>
          <w:lang w:val="es-ES_tradnl"/>
        </w:rPr>
        <w:t xml:space="preserve"> Declaración</w:t>
      </w:r>
      <w:r>
        <w:rPr>
          <w:sz w:val="24"/>
          <w:lang w:val="es-ES_tradnl"/>
        </w:rPr>
        <w:t>:</w:t>
      </w:r>
    </w:p>
    <w:p w14:paraId="799A16DD" w14:textId="77777777" w:rsidR="0070434F" w:rsidRDefault="0070434F" w:rsidP="0070434F">
      <w:pPr>
        <w:spacing w:after="0"/>
        <w:jc w:val="both"/>
        <w:rPr>
          <w:sz w:val="24"/>
          <w:lang w:val="es-ES_tradnl"/>
        </w:rPr>
      </w:pPr>
    </w:p>
    <w:p w14:paraId="276C22A2" w14:textId="77777777" w:rsidR="0070434F" w:rsidRDefault="0070434F" w:rsidP="0070434F">
      <w:pPr>
        <w:pStyle w:val="Prrafodelista"/>
        <w:numPr>
          <w:ilvl w:val="0"/>
          <w:numId w:val="2"/>
        </w:numPr>
        <w:spacing w:after="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Por “Autoridad Competente” se entenderá:</w:t>
      </w:r>
    </w:p>
    <w:p w14:paraId="7A796E8D" w14:textId="77777777" w:rsidR="0070434F" w:rsidRDefault="0070434F" w:rsidP="0070434F">
      <w:pPr>
        <w:pStyle w:val="Prrafodelista"/>
        <w:numPr>
          <w:ilvl w:val="1"/>
          <w:numId w:val="2"/>
        </w:numPr>
        <w:spacing w:after="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En el caso del Reino de España, el Ministerio de Asuntos Exteriores, Unión Europea y Cooperación.</w:t>
      </w:r>
    </w:p>
    <w:p w14:paraId="1F92FEED" w14:textId="77777777" w:rsidR="0070434F" w:rsidRDefault="0070434F" w:rsidP="0070434F">
      <w:pPr>
        <w:pStyle w:val="Prrafodelista"/>
        <w:numPr>
          <w:ilvl w:val="1"/>
          <w:numId w:val="2"/>
        </w:numPr>
        <w:spacing w:after="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En el caso de la República Argentina, el Ministerio de Relaciones Exteriores</w:t>
      </w:r>
      <w:r w:rsidR="003C7B60">
        <w:rPr>
          <w:sz w:val="24"/>
          <w:lang w:val="es-ES_tradnl"/>
        </w:rPr>
        <w:t>, Comercio Internacional</w:t>
      </w:r>
      <w:r>
        <w:rPr>
          <w:sz w:val="24"/>
          <w:lang w:val="es-ES_tradnl"/>
        </w:rPr>
        <w:t xml:space="preserve"> y Culto;</w:t>
      </w:r>
    </w:p>
    <w:p w14:paraId="654A8C8F" w14:textId="77777777" w:rsidR="0070434F" w:rsidRDefault="0070434F" w:rsidP="0070434F">
      <w:pPr>
        <w:pStyle w:val="Prrafodelista"/>
        <w:numPr>
          <w:ilvl w:val="0"/>
          <w:numId w:val="2"/>
        </w:numPr>
        <w:spacing w:after="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Por “documentación” se entenderá toda información contenida en cualquier soporte o formato documental, producida, recibida y conservada en los archivos diplomáticos de ambos Participantes.</w:t>
      </w:r>
    </w:p>
    <w:p w14:paraId="77FF2835" w14:textId="67E21C38" w:rsidR="0070434F" w:rsidRDefault="0070434F" w:rsidP="0070434F">
      <w:pPr>
        <w:pStyle w:val="Prrafodelista"/>
        <w:numPr>
          <w:ilvl w:val="0"/>
          <w:numId w:val="2"/>
        </w:numPr>
        <w:spacing w:after="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Por “Participante Requerido” se entenderá el Participante de</w:t>
      </w:r>
      <w:r w:rsidR="007467B4">
        <w:rPr>
          <w:sz w:val="24"/>
          <w:lang w:val="es-ES_tradnl"/>
        </w:rPr>
        <w:t xml:space="preserve"> </w:t>
      </w:r>
      <w:r>
        <w:rPr>
          <w:sz w:val="24"/>
          <w:lang w:val="es-ES_tradnl"/>
        </w:rPr>
        <w:t>l</w:t>
      </w:r>
      <w:r w:rsidR="007467B4">
        <w:rPr>
          <w:sz w:val="24"/>
          <w:lang w:val="es-ES_tradnl"/>
        </w:rPr>
        <w:t>a</w:t>
      </w:r>
      <w:r>
        <w:rPr>
          <w:sz w:val="24"/>
          <w:lang w:val="es-ES_tradnl"/>
        </w:rPr>
        <w:t xml:space="preserve"> presente</w:t>
      </w:r>
      <w:r w:rsidR="007467B4">
        <w:rPr>
          <w:sz w:val="24"/>
          <w:lang w:val="es-ES_tradnl"/>
        </w:rPr>
        <w:t xml:space="preserve"> Declaración</w:t>
      </w:r>
      <w:r>
        <w:rPr>
          <w:sz w:val="24"/>
          <w:lang w:val="es-ES_tradnl"/>
        </w:rPr>
        <w:t xml:space="preserve"> al que se le solicite proporcionar documentación;</w:t>
      </w:r>
    </w:p>
    <w:p w14:paraId="12B6666D" w14:textId="4DBF411B" w:rsidR="0070434F" w:rsidRDefault="0070434F" w:rsidP="0070434F">
      <w:pPr>
        <w:pStyle w:val="Prrafodelista"/>
        <w:numPr>
          <w:ilvl w:val="0"/>
          <w:numId w:val="2"/>
        </w:numPr>
        <w:spacing w:after="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Por “Participante Requirente” se entenderá el Participante de</w:t>
      </w:r>
      <w:r w:rsidR="007467B4">
        <w:rPr>
          <w:sz w:val="24"/>
          <w:lang w:val="es-ES_tradnl"/>
        </w:rPr>
        <w:t xml:space="preserve"> </w:t>
      </w:r>
      <w:r>
        <w:rPr>
          <w:sz w:val="24"/>
          <w:lang w:val="es-ES_tradnl"/>
        </w:rPr>
        <w:t>l</w:t>
      </w:r>
      <w:r w:rsidR="007467B4">
        <w:rPr>
          <w:sz w:val="24"/>
          <w:lang w:val="es-ES_tradnl"/>
        </w:rPr>
        <w:t>a</w:t>
      </w:r>
      <w:r>
        <w:rPr>
          <w:sz w:val="24"/>
          <w:lang w:val="es-ES_tradnl"/>
        </w:rPr>
        <w:t xml:space="preserve"> presente </w:t>
      </w:r>
      <w:r w:rsidR="007467B4">
        <w:rPr>
          <w:sz w:val="24"/>
          <w:lang w:val="es-ES_tradnl"/>
        </w:rPr>
        <w:t>Declaración</w:t>
      </w:r>
      <w:r w:rsidR="00272BFB">
        <w:rPr>
          <w:sz w:val="24"/>
          <w:lang w:val="es-ES_tradnl"/>
        </w:rPr>
        <w:t xml:space="preserve"> que env</w:t>
      </w:r>
      <w:r w:rsidR="00A644BA">
        <w:rPr>
          <w:sz w:val="24"/>
          <w:lang w:val="es-ES_tradnl"/>
        </w:rPr>
        <w:t>íe un</w:t>
      </w:r>
      <w:r w:rsidR="00272BFB">
        <w:rPr>
          <w:sz w:val="24"/>
          <w:lang w:val="es-ES_tradnl"/>
        </w:rPr>
        <w:t>a solicitud de información.</w:t>
      </w:r>
    </w:p>
    <w:p w14:paraId="7A843019" w14:textId="77777777" w:rsidR="00272BFB" w:rsidRDefault="00272BFB" w:rsidP="00272BFB">
      <w:pPr>
        <w:spacing w:after="0"/>
        <w:jc w:val="both"/>
        <w:rPr>
          <w:sz w:val="24"/>
          <w:lang w:val="es-ES_tradnl"/>
        </w:rPr>
      </w:pPr>
    </w:p>
    <w:p w14:paraId="23022AB3" w14:textId="50050930" w:rsidR="00272BFB" w:rsidRDefault="00272BFB" w:rsidP="00272BFB">
      <w:pPr>
        <w:spacing w:after="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2. Las Autoridades Competentes podrán delegar en otros organismos del Estado la gestión de acciones vinculadas a la implementación de</w:t>
      </w:r>
      <w:r w:rsidR="001A3C97">
        <w:rPr>
          <w:sz w:val="24"/>
          <w:lang w:val="es-ES_tradnl"/>
        </w:rPr>
        <w:t xml:space="preserve"> </w:t>
      </w:r>
      <w:r>
        <w:rPr>
          <w:sz w:val="24"/>
          <w:lang w:val="es-ES_tradnl"/>
        </w:rPr>
        <w:t>l</w:t>
      </w:r>
      <w:r w:rsidR="001A3C97">
        <w:rPr>
          <w:sz w:val="24"/>
          <w:lang w:val="es-ES_tradnl"/>
        </w:rPr>
        <w:t>a</w:t>
      </w:r>
      <w:r>
        <w:rPr>
          <w:sz w:val="24"/>
          <w:lang w:val="es-ES_tradnl"/>
        </w:rPr>
        <w:t xml:space="preserve"> presente </w:t>
      </w:r>
      <w:r w:rsidR="001A3C97">
        <w:rPr>
          <w:sz w:val="24"/>
          <w:lang w:val="es-ES_tradnl"/>
        </w:rPr>
        <w:t>Declaración</w:t>
      </w:r>
      <w:r>
        <w:rPr>
          <w:sz w:val="24"/>
          <w:lang w:val="es-ES_tradnl"/>
        </w:rPr>
        <w:t>.</w:t>
      </w:r>
    </w:p>
    <w:p w14:paraId="252CC775" w14:textId="77777777" w:rsidR="00272BFB" w:rsidRDefault="00272BFB" w:rsidP="00272BFB">
      <w:pPr>
        <w:spacing w:after="0"/>
        <w:jc w:val="both"/>
        <w:rPr>
          <w:sz w:val="24"/>
          <w:lang w:val="es-ES_tradnl"/>
        </w:rPr>
      </w:pPr>
    </w:p>
    <w:p w14:paraId="41ECA759" w14:textId="77777777" w:rsidR="00272BFB" w:rsidRDefault="003C7B60" w:rsidP="00272BFB">
      <w:pPr>
        <w:spacing w:after="0"/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Párrafo</w:t>
      </w:r>
      <w:r w:rsidR="00625226">
        <w:rPr>
          <w:b/>
          <w:sz w:val="24"/>
          <w:lang w:val="es-ES_tradnl"/>
        </w:rPr>
        <w:t xml:space="preserve"> II</w:t>
      </w:r>
    </w:p>
    <w:p w14:paraId="2EDCE4FD" w14:textId="77777777" w:rsidR="00272BFB" w:rsidRDefault="00272BFB" w:rsidP="00272BFB">
      <w:pPr>
        <w:spacing w:after="0"/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Objeto</w:t>
      </w:r>
    </w:p>
    <w:p w14:paraId="6B4987B6" w14:textId="77777777" w:rsidR="00272BFB" w:rsidRDefault="00272BFB" w:rsidP="00272BFB">
      <w:pPr>
        <w:spacing w:after="0"/>
        <w:jc w:val="both"/>
        <w:rPr>
          <w:sz w:val="24"/>
          <w:lang w:val="es-ES_tradnl"/>
        </w:rPr>
      </w:pPr>
    </w:p>
    <w:p w14:paraId="7EE84E18" w14:textId="4EC6B787" w:rsidR="00272BFB" w:rsidRDefault="00272BFB" w:rsidP="001A3C97">
      <w:pPr>
        <w:spacing w:after="0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Los Participantes, a través de sus Autoridades Competentes, </w:t>
      </w:r>
      <w:r w:rsidR="00764060">
        <w:rPr>
          <w:sz w:val="24"/>
          <w:lang w:val="es-ES_tradnl"/>
        </w:rPr>
        <w:t xml:space="preserve">cooperarán </w:t>
      </w:r>
      <w:r>
        <w:rPr>
          <w:sz w:val="24"/>
          <w:lang w:val="es-ES_tradnl"/>
        </w:rPr>
        <w:t>mutua</w:t>
      </w:r>
      <w:r w:rsidR="00764060">
        <w:rPr>
          <w:sz w:val="24"/>
          <w:lang w:val="es-ES_tradnl"/>
        </w:rPr>
        <w:t>mente</w:t>
      </w:r>
      <w:r>
        <w:rPr>
          <w:sz w:val="24"/>
          <w:lang w:val="es-ES_tradnl"/>
        </w:rPr>
        <w:t xml:space="preserve"> para el intercambio de documentación obrante en sus archivos diplomáticos, relativa a graves violaciones a los derechos humanos ocurridas durante la interrupción del orden institucional en el pasado reciente de la </w:t>
      </w:r>
      <w:r w:rsidR="00625226">
        <w:rPr>
          <w:sz w:val="24"/>
          <w:lang w:val="es-ES_tradnl"/>
        </w:rPr>
        <w:t xml:space="preserve">República </w:t>
      </w:r>
      <w:r>
        <w:rPr>
          <w:sz w:val="24"/>
          <w:lang w:val="es-ES_tradnl"/>
        </w:rPr>
        <w:t>Argentina, con el propósito de contribuir con el proceso de reconstrucción histórica de la memoria, la verdad y la justicia.</w:t>
      </w:r>
    </w:p>
    <w:p w14:paraId="5A6AB761" w14:textId="77777777" w:rsidR="006C1655" w:rsidRDefault="006C1655" w:rsidP="00A644BA">
      <w:pPr>
        <w:spacing w:after="0"/>
        <w:ind w:firstLine="567"/>
        <w:jc w:val="both"/>
        <w:rPr>
          <w:sz w:val="24"/>
          <w:lang w:val="es-ES_tradnl"/>
        </w:rPr>
      </w:pPr>
    </w:p>
    <w:p w14:paraId="5FBB3717" w14:textId="6C3E6494" w:rsidR="006C1655" w:rsidRPr="0084604F" w:rsidRDefault="006C1655" w:rsidP="0084604F">
      <w:pPr>
        <w:spacing w:after="0"/>
        <w:jc w:val="both"/>
        <w:rPr>
          <w:sz w:val="24"/>
          <w:lang w:val="es-ES_tradnl"/>
        </w:rPr>
      </w:pPr>
      <w:r w:rsidRPr="0084604F">
        <w:rPr>
          <w:sz w:val="24"/>
          <w:lang w:val="es-ES_tradnl"/>
        </w:rPr>
        <w:t xml:space="preserve">Ante la existencia de dificultades para brindar dicha cooperación, </w:t>
      </w:r>
      <w:r w:rsidR="00FC506B">
        <w:rPr>
          <w:sz w:val="24"/>
          <w:lang w:val="es-ES_tradnl"/>
        </w:rPr>
        <w:t>l</w:t>
      </w:r>
      <w:r w:rsidR="0084604F">
        <w:rPr>
          <w:sz w:val="24"/>
          <w:lang w:val="es-ES_tradnl"/>
        </w:rPr>
        <w:t>a</w:t>
      </w:r>
      <w:r w:rsidRPr="0084604F">
        <w:rPr>
          <w:sz w:val="24"/>
          <w:lang w:val="es-ES_tradnl"/>
        </w:rPr>
        <w:t>s autoridades competentes procurarán mantener abiertos los canales de cooperación realizando todas las acciones posibles tendientes a proveer información útil para el esclarecimiento de graves violaciones a los derechos humanos, de conformidad con el ordenamiento jurídico interno de cada Participante.</w:t>
      </w:r>
    </w:p>
    <w:p w14:paraId="454FD22D" w14:textId="77777777" w:rsidR="006C1655" w:rsidRDefault="006C1655" w:rsidP="0084604F">
      <w:pPr>
        <w:spacing w:after="0"/>
        <w:jc w:val="both"/>
        <w:rPr>
          <w:sz w:val="24"/>
          <w:lang w:val="es-ES_tradnl"/>
        </w:rPr>
      </w:pPr>
    </w:p>
    <w:p w14:paraId="3EA02709" w14:textId="10BC4BD1" w:rsidR="003C7B60" w:rsidRDefault="003C7B60" w:rsidP="00CD1F43">
      <w:pPr>
        <w:spacing w:after="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Se encuentra exceptuada de</w:t>
      </w:r>
      <w:r w:rsidR="00CD1F43">
        <w:rPr>
          <w:sz w:val="24"/>
          <w:lang w:val="es-ES_tradnl"/>
        </w:rPr>
        <w:t xml:space="preserve"> </w:t>
      </w:r>
      <w:r>
        <w:rPr>
          <w:sz w:val="24"/>
          <w:lang w:val="es-ES_tradnl"/>
        </w:rPr>
        <w:t>l</w:t>
      </w:r>
      <w:r w:rsidR="00CD1F43">
        <w:rPr>
          <w:sz w:val="24"/>
          <w:lang w:val="es-ES_tradnl"/>
        </w:rPr>
        <w:t>a</w:t>
      </w:r>
      <w:r>
        <w:rPr>
          <w:sz w:val="24"/>
          <w:lang w:val="es-ES_tradnl"/>
        </w:rPr>
        <w:t xml:space="preserve"> presente </w:t>
      </w:r>
      <w:r w:rsidR="00CD1F43">
        <w:rPr>
          <w:sz w:val="24"/>
          <w:lang w:val="es-ES_tradnl"/>
        </w:rPr>
        <w:t xml:space="preserve">Declaración </w:t>
      </w:r>
      <w:r>
        <w:rPr>
          <w:sz w:val="24"/>
          <w:lang w:val="es-ES_tradnl"/>
        </w:rPr>
        <w:t>toda aquella información que los Participantes pudieren solicitar dentro de los parámetros fijados por los Convenios sobre asistencia penal de los que fueren Parte.</w:t>
      </w:r>
    </w:p>
    <w:p w14:paraId="2106495B" w14:textId="77777777" w:rsidR="00272BFB" w:rsidRDefault="00272BFB" w:rsidP="00272BFB">
      <w:pPr>
        <w:spacing w:after="0"/>
        <w:jc w:val="both"/>
        <w:rPr>
          <w:sz w:val="24"/>
          <w:lang w:val="es-ES_tradnl"/>
        </w:rPr>
      </w:pPr>
    </w:p>
    <w:p w14:paraId="0938EDAC" w14:textId="77777777" w:rsidR="00272BFB" w:rsidRDefault="003C7B60" w:rsidP="00272BFB">
      <w:pPr>
        <w:spacing w:after="0"/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Párrafo</w:t>
      </w:r>
      <w:r w:rsidR="00625226">
        <w:rPr>
          <w:b/>
          <w:sz w:val="24"/>
          <w:lang w:val="es-ES_tradnl"/>
        </w:rPr>
        <w:t xml:space="preserve"> III</w:t>
      </w:r>
    </w:p>
    <w:p w14:paraId="68028924" w14:textId="77777777" w:rsidR="00272BFB" w:rsidRDefault="00272BFB" w:rsidP="00272BFB">
      <w:pPr>
        <w:spacing w:after="0"/>
        <w:jc w:val="center"/>
        <w:rPr>
          <w:sz w:val="24"/>
          <w:lang w:val="es-ES_tradnl"/>
        </w:rPr>
      </w:pPr>
      <w:r>
        <w:rPr>
          <w:b/>
          <w:sz w:val="24"/>
          <w:lang w:val="es-ES_tradnl"/>
        </w:rPr>
        <w:t>Formalización de las solicitudes</w:t>
      </w:r>
    </w:p>
    <w:p w14:paraId="445429FB" w14:textId="77777777" w:rsidR="00272BFB" w:rsidRDefault="00272BFB" w:rsidP="00272BFB">
      <w:pPr>
        <w:spacing w:after="0"/>
        <w:jc w:val="both"/>
        <w:rPr>
          <w:sz w:val="24"/>
          <w:lang w:val="es-ES_tradnl"/>
        </w:rPr>
      </w:pPr>
    </w:p>
    <w:p w14:paraId="6BDB5E58" w14:textId="77777777" w:rsidR="00272BFB" w:rsidRDefault="00272BFB" w:rsidP="00272BFB">
      <w:pPr>
        <w:spacing w:after="0"/>
        <w:jc w:val="both"/>
        <w:rPr>
          <w:sz w:val="24"/>
          <w:lang w:val="es-ES_tradnl"/>
        </w:rPr>
      </w:pPr>
      <w:r w:rsidRPr="00272BFB">
        <w:rPr>
          <w:sz w:val="24"/>
          <w:lang w:val="es-ES_tradnl"/>
        </w:rPr>
        <w:lastRenderedPageBreak/>
        <w:t>1.</w:t>
      </w:r>
      <w:r>
        <w:rPr>
          <w:sz w:val="24"/>
          <w:lang w:val="es-ES_tradnl"/>
        </w:rPr>
        <w:t xml:space="preserve"> La formulación de las solicitudes se realizará a través de las Autoridades Competentes, por los canales diplomáticos habituales.</w:t>
      </w:r>
    </w:p>
    <w:p w14:paraId="59BF3FD7" w14:textId="77777777" w:rsidR="00272BFB" w:rsidRDefault="00272BFB" w:rsidP="00272BFB">
      <w:pPr>
        <w:spacing w:after="0"/>
        <w:jc w:val="both"/>
        <w:rPr>
          <w:sz w:val="24"/>
          <w:lang w:val="es-ES_tradnl"/>
        </w:rPr>
      </w:pPr>
    </w:p>
    <w:p w14:paraId="19010E46" w14:textId="77777777" w:rsidR="00272BFB" w:rsidRDefault="00272BFB" w:rsidP="00272BFB">
      <w:pPr>
        <w:spacing w:after="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2. La Autoridad Competente del Participante Requerido será la única responsable de arbitrar los medios para reunir la información y coordinar la actividad administrativa necesaria a tal efecto, previa solicitud por escrito de la Autoridad Competente del Participante Requirente.</w:t>
      </w:r>
    </w:p>
    <w:p w14:paraId="0C9FDD50" w14:textId="77777777" w:rsidR="00272BFB" w:rsidRDefault="00272BFB" w:rsidP="00272BFB">
      <w:pPr>
        <w:spacing w:after="0"/>
        <w:jc w:val="both"/>
        <w:rPr>
          <w:sz w:val="24"/>
          <w:lang w:val="es-ES_tradnl"/>
        </w:rPr>
      </w:pPr>
    </w:p>
    <w:p w14:paraId="6BF9EEF9" w14:textId="48DD5956" w:rsidR="00272BFB" w:rsidRDefault="003C7B60" w:rsidP="00272BFB">
      <w:pPr>
        <w:spacing w:after="0"/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Párrafo</w:t>
      </w:r>
      <w:r w:rsidR="00625226">
        <w:rPr>
          <w:b/>
          <w:sz w:val="24"/>
          <w:lang w:val="es-ES_tradnl"/>
        </w:rPr>
        <w:t xml:space="preserve"> </w:t>
      </w:r>
      <w:r w:rsidR="0084604F">
        <w:rPr>
          <w:b/>
          <w:sz w:val="24"/>
          <w:lang w:val="es-ES_tradnl"/>
        </w:rPr>
        <w:t>I</w:t>
      </w:r>
      <w:r w:rsidR="00625226">
        <w:rPr>
          <w:b/>
          <w:sz w:val="24"/>
          <w:lang w:val="es-ES_tradnl"/>
        </w:rPr>
        <w:t>V</w:t>
      </w:r>
    </w:p>
    <w:p w14:paraId="6E51A709" w14:textId="3DF1A34B" w:rsidR="003C7B60" w:rsidRDefault="003C7B60" w:rsidP="00272BFB">
      <w:pPr>
        <w:spacing w:after="0"/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Naturaleza de</w:t>
      </w:r>
      <w:r w:rsidR="00CD1F43">
        <w:rPr>
          <w:b/>
          <w:sz w:val="24"/>
          <w:lang w:val="es-ES_tradnl"/>
        </w:rPr>
        <w:t xml:space="preserve"> </w:t>
      </w:r>
      <w:r>
        <w:rPr>
          <w:b/>
          <w:sz w:val="24"/>
          <w:lang w:val="es-ES_tradnl"/>
        </w:rPr>
        <w:t>l</w:t>
      </w:r>
      <w:r w:rsidR="00CD1F43">
        <w:rPr>
          <w:b/>
          <w:sz w:val="24"/>
          <w:lang w:val="es-ES_tradnl"/>
        </w:rPr>
        <w:t>a</w:t>
      </w:r>
      <w:r>
        <w:rPr>
          <w:b/>
          <w:sz w:val="24"/>
          <w:lang w:val="es-ES_tradnl"/>
        </w:rPr>
        <w:t xml:space="preserve"> presente </w:t>
      </w:r>
      <w:r w:rsidR="00CD1F43">
        <w:rPr>
          <w:b/>
          <w:sz w:val="24"/>
          <w:lang w:val="es-ES_tradnl"/>
        </w:rPr>
        <w:t>Declaración</w:t>
      </w:r>
    </w:p>
    <w:p w14:paraId="4D8209B7" w14:textId="77777777" w:rsidR="003C7B60" w:rsidRDefault="003C7B60" w:rsidP="00272BFB">
      <w:pPr>
        <w:spacing w:after="0"/>
        <w:jc w:val="center"/>
        <w:rPr>
          <w:b/>
          <w:sz w:val="24"/>
          <w:lang w:val="es-ES_tradnl"/>
        </w:rPr>
      </w:pPr>
    </w:p>
    <w:p w14:paraId="10BB9EA7" w14:textId="17FC0B63" w:rsidR="003C7B60" w:rsidRPr="003C7B60" w:rsidRDefault="00CD1F43" w:rsidP="003C7B60">
      <w:pPr>
        <w:spacing w:after="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La</w:t>
      </w:r>
      <w:r w:rsidR="003C7B60">
        <w:rPr>
          <w:sz w:val="24"/>
          <w:lang w:val="es-ES_tradnl"/>
        </w:rPr>
        <w:t xml:space="preserve"> presente </w:t>
      </w:r>
      <w:r w:rsidRPr="00CD1F43">
        <w:rPr>
          <w:sz w:val="24"/>
          <w:lang w:val="es-ES_tradnl"/>
        </w:rPr>
        <w:t>Declaración</w:t>
      </w:r>
      <w:r>
        <w:rPr>
          <w:sz w:val="24"/>
          <w:lang w:val="es-ES_tradnl"/>
        </w:rPr>
        <w:t xml:space="preserve"> </w:t>
      </w:r>
      <w:r w:rsidR="003C7B60">
        <w:rPr>
          <w:sz w:val="24"/>
          <w:lang w:val="es-ES_tradnl"/>
        </w:rPr>
        <w:t>es un compromiso político, sin carácter vinculante ni sometido al Derecho Internacional. Sus disposiciones no afectarán los compromisos bilaterales o multilaterales de los Participantes.</w:t>
      </w:r>
    </w:p>
    <w:p w14:paraId="08C23919" w14:textId="77777777" w:rsidR="003C7B60" w:rsidRDefault="003C7B60" w:rsidP="00272BFB">
      <w:pPr>
        <w:spacing w:after="0"/>
        <w:jc w:val="center"/>
        <w:rPr>
          <w:b/>
          <w:sz w:val="24"/>
          <w:lang w:val="es-ES_tradnl"/>
        </w:rPr>
      </w:pPr>
    </w:p>
    <w:p w14:paraId="1E15320D" w14:textId="67EB7E15" w:rsidR="003C7B60" w:rsidRDefault="003C7B60" w:rsidP="00272BFB">
      <w:pPr>
        <w:spacing w:after="0"/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P</w:t>
      </w:r>
      <w:r w:rsidR="00CD1F43">
        <w:rPr>
          <w:b/>
          <w:sz w:val="24"/>
          <w:lang w:val="es-ES_tradnl"/>
        </w:rPr>
        <w:t>árrafo V</w:t>
      </w:r>
    </w:p>
    <w:p w14:paraId="2E2DD884" w14:textId="77777777" w:rsidR="00272BFB" w:rsidRDefault="00272BFB" w:rsidP="00272BFB">
      <w:pPr>
        <w:spacing w:after="0"/>
        <w:jc w:val="center"/>
        <w:rPr>
          <w:sz w:val="24"/>
          <w:lang w:val="es-ES_tradnl"/>
        </w:rPr>
      </w:pPr>
      <w:r>
        <w:rPr>
          <w:b/>
          <w:sz w:val="24"/>
          <w:lang w:val="es-ES_tradnl"/>
        </w:rPr>
        <w:t>Confidencialidad</w:t>
      </w:r>
    </w:p>
    <w:p w14:paraId="2FD817D8" w14:textId="77777777" w:rsidR="00272BFB" w:rsidRDefault="00272BFB" w:rsidP="00272BFB">
      <w:pPr>
        <w:spacing w:after="0"/>
        <w:jc w:val="both"/>
        <w:rPr>
          <w:sz w:val="24"/>
          <w:lang w:val="es-ES_tradnl"/>
        </w:rPr>
      </w:pPr>
    </w:p>
    <w:p w14:paraId="101795C9" w14:textId="6E3E7966" w:rsidR="00272BFB" w:rsidRDefault="00272BFB" w:rsidP="001A3C97">
      <w:pPr>
        <w:spacing w:after="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La Autoridad Competente del Participante Requerido podrá solicitar que la documentación que se genere y/o intercambie en virtud de</w:t>
      </w:r>
      <w:r w:rsidR="00CD1F43">
        <w:rPr>
          <w:sz w:val="24"/>
          <w:lang w:val="es-ES_tradnl"/>
        </w:rPr>
        <w:t xml:space="preserve"> </w:t>
      </w:r>
      <w:r>
        <w:rPr>
          <w:sz w:val="24"/>
          <w:lang w:val="es-ES_tradnl"/>
        </w:rPr>
        <w:t>l</w:t>
      </w:r>
      <w:r w:rsidR="00CD1F43">
        <w:rPr>
          <w:sz w:val="24"/>
          <w:lang w:val="es-ES_tradnl"/>
        </w:rPr>
        <w:t>a</w:t>
      </w:r>
      <w:r>
        <w:rPr>
          <w:sz w:val="24"/>
          <w:lang w:val="es-ES_tradnl"/>
        </w:rPr>
        <w:t xml:space="preserve"> presente </w:t>
      </w:r>
      <w:r w:rsidR="00CD1F43" w:rsidRPr="00CD1F43">
        <w:rPr>
          <w:sz w:val="24"/>
          <w:lang w:val="es-ES_tradnl"/>
        </w:rPr>
        <w:t>Declaración</w:t>
      </w:r>
      <w:r w:rsidR="00CD1F43">
        <w:rPr>
          <w:sz w:val="24"/>
          <w:lang w:val="es-ES_tradnl"/>
        </w:rPr>
        <w:t xml:space="preserve"> </w:t>
      </w:r>
      <w:r>
        <w:rPr>
          <w:sz w:val="24"/>
          <w:lang w:val="es-ES_tradnl"/>
        </w:rPr>
        <w:t>tenga carácter confidencial, por el plazo que se fije de común acuerdo entre los Participantes para cada caso, observando la legislación de cada uno de los Participantes.</w:t>
      </w:r>
    </w:p>
    <w:p w14:paraId="1CAC2AFD" w14:textId="77777777" w:rsidR="00272BFB" w:rsidRDefault="00272BFB" w:rsidP="00272BFB">
      <w:pPr>
        <w:spacing w:after="0"/>
        <w:jc w:val="both"/>
        <w:rPr>
          <w:sz w:val="24"/>
          <w:lang w:val="es-ES_tradnl"/>
        </w:rPr>
      </w:pPr>
    </w:p>
    <w:p w14:paraId="13F9DE1D" w14:textId="6DC43E8E" w:rsidR="00272BFB" w:rsidRDefault="003C7B60" w:rsidP="00272BFB">
      <w:pPr>
        <w:spacing w:after="0"/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P</w:t>
      </w:r>
      <w:r w:rsidR="0084604F">
        <w:rPr>
          <w:b/>
          <w:sz w:val="24"/>
          <w:lang w:val="es-ES_tradnl"/>
        </w:rPr>
        <w:t>árrafo V</w:t>
      </w:r>
      <w:r w:rsidR="00CD1F43">
        <w:rPr>
          <w:b/>
          <w:sz w:val="24"/>
          <w:lang w:val="es-ES_tradnl"/>
        </w:rPr>
        <w:t>I</w:t>
      </w:r>
    </w:p>
    <w:p w14:paraId="73CACCD5" w14:textId="77777777" w:rsidR="00272BFB" w:rsidRDefault="00272BFB" w:rsidP="00272BFB">
      <w:pPr>
        <w:spacing w:after="0"/>
        <w:jc w:val="center"/>
        <w:rPr>
          <w:sz w:val="24"/>
          <w:lang w:val="es-ES_tradnl"/>
        </w:rPr>
      </w:pPr>
      <w:r>
        <w:rPr>
          <w:b/>
          <w:sz w:val="24"/>
          <w:lang w:val="es-ES_tradnl"/>
        </w:rPr>
        <w:t>Puntos focales</w:t>
      </w:r>
    </w:p>
    <w:p w14:paraId="46210077" w14:textId="77777777" w:rsidR="00272BFB" w:rsidRDefault="00272BFB" w:rsidP="00272BFB">
      <w:pPr>
        <w:spacing w:after="0"/>
        <w:jc w:val="both"/>
        <w:rPr>
          <w:sz w:val="24"/>
          <w:lang w:val="es-ES_tradnl"/>
        </w:rPr>
      </w:pPr>
    </w:p>
    <w:p w14:paraId="7B1B9D15" w14:textId="5824434D" w:rsidR="00272BFB" w:rsidRDefault="00272BFB" w:rsidP="001A3C97">
      <w:pPr>
        <w:spacing w:after="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Con el fin de establecer un canal permanente y fluido de comunicación que facilite el intercambio de documentación en el marco de</w:t>
      </w:r>
      <w:r w:rsidR="00CD1F43">
        <w:rPr>
          <w:sz w:val="24"/>
          <w:lang w:val="es-ES_tradnl"/>
        </w:rPr>
        <w:t xml:space="preserve"> </w:t>
      </w:r>
      <w:r>
        <w:rPr>
          <w:sz w:val="24"/>
          <w:lang w:val="es-ES_tradnl"/>
        </w:rPr>
        <w:t>l</w:t>
      </w:r>
      <w:r w:rsidR="00CD1F43">
        <w:rPr>
          <w:sz w:val="24"/>
          <w:lang w:val="es-ES_tradnl"/>
        </w:rPr>
        <w:t>a</w:t>
      </w:r>
      <w:r>
        <w:rPr>
          <w:sz w:val="24"/>
          <w:lang w:val="es-ES_tradnl"/>
        </w:rPr>
        <w:t xml:space="preserve"> presente</w:t>
      </w:r>
      <w:r w:rsidR="00CD1F43">
        <w:rPr>
          <w:sz w:val="24"/>
          <w:lang w:val="es-ES_tradnl"/>
        </w:rPr>
        <w:t xml:space="preserve"> </w:t>
      </w:r>
      <w:r w:rsidR="00CD1F43" w:rsidRPr="00CD1F43">
        <w:rPr>
          <w:sz w:val="24"/>
          <w:lang w:val="es-ES_tradnl"/>
        </w:rPr>
        <w:t>Declaración</w:t>
      </w:r>
      <w:r>
        <w:rPr>
          <w:sz w:val="24"/>
          <w:lang w:val="es-ES_tradnl"/>
        </w:rPr>
        <w:t>, los Participantes establecerán Puntos Focales técnicos, que tendrán a cargo el seguimiento, la evaluación y administración de todas las gestiones que se lleven a cabo entre ellas.</w:t>
      </w:r>
    </w:p>
    <w:p w14:paraId="6D66363F" w14:textId="77777777" w:rsidR="00272BFB" w:rsidRDefault="00272BFB" w:rsidP="00272BFB">
      <w:pPr>
        <w:spacing w:after="0"/>
        <w:jc w:val="both"/>
        <w:rPr>
          <w:sz w:val="24"/>
          <w:lang w:val="es-ES_tradnl"/>
        </w:rPr>
      </w:pPr>
    </w:p>
    <w:p w14:paraId="70F8EA1D" w14:textId="0236D797" w:rsidR="0084604F" w:rsidRDefault="003C7B60" w:rsidP="0084604F">
      <w:pPr>
        <w:spacing w:after="0"/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P</w:t>
      </w:r>
      <w:r w:rsidR="0084604F">
        <w:rPr>
          <w:b/>
          <w:sz w:val="24"/>
          <w:lang w:val="es-ES_tradnl"/>
        </w:rPr>
        <w:t>árrafo VI</w:t>
      </w:r>
      <w:r w:rsidR="00CD1F43">
        <w:rPr>
          <w:b/>
          <w:sz w:val="24"/>
          <w:lang w:val="es-ES_tradnl"/>
        </w:rPr>
        <w:t>I</w:t>
      </w:r>
    </w:p>
    <w:p w14:paraId="293F5A9E" w14:textId="77777777" w:rsidR="009F6CF4" w:rsidRDefault="009F6CF4" w:rsidP="0084604F">
      <w:pPr>
        <w:spacing w:after="0"/>
        <w:jc w:val="both"/>
        <w:rPr>
          <w:sz w:val="24"/>
          <w:lang w:val="es-ES_tradnl"/>
        </w:rPr>
      </w:pPr>
    </w:p>
    <w:p w14:paraId="7E842B4C" w14:textId="609A1138" w:rsidR="00272BFB" w:rsidRDefault="00272BFB" w:rsidP="001A3C97">
      <w:pPr>
        <w:spacing w:after="0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Los Participantes </w:t>
      </w:r>
      <w:r w:rsidR="008E7A22">
        <w:rPr>
          <w:sz w:val="24"/>
          <w:lang w:val="es-ES_tradnl"/>
        </w:rPr>
        <w:t xml:space="preserve">consultarán previamente </w:t>
      </w:r>
      <w:r>
        <w:rPr>
          <w:sz w:val="24"/>
          <w:lang w:val="es-ES_tradnl"/>
        </w:rPr>
        <w:t>respecto de los costes operativos que pueda insumir el cumplimiento de cada solicitud, con el objeto de acordar anticipadamente la forma en que se cubrirán los gastos correspondientes.</w:t>
      </w:r>
    </w:p>
    <w:p w14:paraId="2F7E02E3" w14:textId="77777777" w:rsidR="002718EC" w:rsidRDefault="002718EC" w:rsidP="00272BFB">
      <w:pPr>
        <w:spacing w:after="0"/>
        <w:jc w:val="both"/>
        <w:rPr>
          <w:sz w:val="24"/>
          <w:lang w:val="es-ES_tradnl"/>
        </w:rPr>
      </w:pPr>
    </w:p>
    <w:p w14:paraId="60DB9279" w14:textId="77777777" w:rsidR="002718EC" w:rsidRDefault="002718EC" w:rsidP="002718EC">
      <w:pPr>
        <w:spacing w:after="0"/>
        <w:jc w:val="both"/>
        <w:rPr>
          <w:sz w:val="24"/>
          <w:lang w:val="es-ES_tradnl"/>
        </w:rPr>
      </w:pPr>
    </w:p>
    <w:p w14:paraId="76B13B27" w14:textId="77777777" w:rsidR="002718EC" w:rsidRDefault="002718EC" w:rsidP="002718EC">
      <w:pPr>
        <w:spacing w:after="0"/>
        <w:jc w:val="both"/>
        <w:rPr>
          <w:sz w:val="24"/>
          <w:lang w:val="es-ES_tradnl"/>
        </w:rPr>
      </w:pPr>
    </w:p>
    <w:p w14:paraId="08373CBC" w14:textId="77777777" w:rsidR="002718EC" w:rsidRDefault="002718EC" w:rsidP="002718EC">
      <w:pPr>
        <w:spacing w:after="0"/>
        <w:jc w:val="center"/>
        <w:rPr>
          <w:b/>
          <w:sz w:val="24"/>
          <w:lang w:val="es-ES_tradnl"/>
        </w:rPr>
      </w:pPr>
    </w:p>
    <w:p w14:paraId="7A8F608D" w14:textId="77777777" w:rsidR="00A644BA" w:rsidRDefault="00A644BA" w:rsidP="002718EC">
      <w:pPr>
        <w:spacing w:after="0"/>
        <w:jc w:val="both"/>
        <w:rPr>
          <w:sz w:val="24"/>
          <w:lang w:val="es-ES_tradnl"/>
        </w:rPr>
      </w:pPr>
    </w:p>
    <w:p w14:paraId="697802C5" w14:textId="77777777" w:rsidR="00A644BA" w:rsidRDefault="00A644BA" w:rsidP="00A644BA">
      <w:pPr>
        <w:spacing w:after="0"/>
        <w:ind w:firstLine="567"/>
        <w:jc w:val="both"/>
        <w:rPr>
          <w:sz w:val="24"/>
          <w:lang w:val="es-ES_tradnl"/>
        </w:rPr>
      </w:pPr>
    </w:p>
    <w:p w14:paraId="3C0F4204" w14:textId="77777777" w:rsidR="00A644BA" w:rsidRDefault="00A644BA" w:rsidP="00A644BA">
      <w:pPr>
        <w:spacing w:after="0"/>
        <w:ind w:firstLine="567"/>
        <w:jc w:val="both"/>
        <w:rPr>
          <w:sz w:val="24"/>
          <w:lang w:val="es-ES_tradnl"/>
        </w:rPr>
      </w:pPr>
    </w:p>
    <w:p w14:paraId="3064765C" w14:textId="77777777" w:rsidR="00A644BA" w:rsidRDefault="00A644BA" w:rsidP="00A644BA">
      <w:pPr>
        <w:spacing w:after="0"/>
        <w:ind w:firstLine="567"/>
        <w:jc w:val="both"/>
        <w:rPr>
          <w:sz w:val="24"/>
          <w:lang w:val="es-ES_tradnl"/>
        </w:rPr>
      </w:pPr>
    </w:p>
    <w:p w14:paraId="191D7846" w14:textId="77777777" w:rsidR="00A644BA" w:rsidRDefault="003C7B60" w:rsidP="00A644BA">
      <w:pPr>
        <w:spacing w:after="0"/>
        <w:ind w:firstLine="567"/>
        <w:jc w:val="both"/>
        <w:rPr>
          <w:sz w:val="24"/>
          <w:lang w:val="es-ES_tradnl"/>
        </w:rPr>
      </w:pPr>
      <w:r>
        <w:rPr>
          <w:sz w:val="24"/>
          <w:lang w:val="es-ES_tradnl"/>
        </w:rPr>
        <w:t>Firmado en Buenos Aires, a 9 de junio de 2021, en dos originales, en lengua española, siendo ambos textos igualmente válidos.</w:t>
      </w:r>
    </w:p>
    <w:p w14:paraId="1A9BC889" w14:textId="77777777" w:rsidR="003C7B60" w:rsidRDefault="003C7B60" w:rsidP="00A644BA">
      <w:pPr>
        <w:spacing w:after="0"/>
        <w:ind w:firstLine="567"/>
        <w:jc w:val="both"/>
        <w:rPr>
          <w:sz w:val="24"/>
          <w:lang w:val="es-ES_tradnl"/>
        </w:rPr>
      </w:pPr>
    </w:p>
    <w:p w14:paraId="6568DE99" w14:textId="77777777" w:rsidR="00625226" w:rsidRDefault="00625226" w:rsidP="00A644BA">
      <w:pPr>
        <w:spacing w:after="0"/>
        <w:ind w:firstLine="567"/>
        <w:jc w:val="both"/>
        <w:rPr>
          <w:sz w:val="24"/>
          <w:lang w:val="es-ES_tradnl"/>
        </w:rPr>
      </w:pPr>
    </w:p>
    <w:p w14:paraId="03308195" w14:textId="77777777" w:rsidR="00625226" w:rsidRDefault="00625226" w:rsidP="00A644BA">
      <w:pPr>
        <w:spacing w:after="0"/>
        <w:ind w:firstLine="567"/>
        <w:jc w:val="both"/>
        <w:rPr>
          <w:sz w:val="24"/>
          <w:lang w:val="es-ES_tradnl"/>
        </w:rPr>
      </w:pPr>
    </w:p>
    <w:p w14:paraId="76E7D71D" w14:textId="77777777" w:rsidR="00625226" w:rsidRDefault="00625226" w:rsidP="00A644BA">
      <w:pPr>
        <w:spacing w:after="0"/>
        <w:ind w:firstLine="567"/>
        <w:jc w:val="both"/>
        <w:rPr>
          <w:sz w:val="24"/>
          <w:lang w:val="es-ES_tradnl"/>
        </w:rPr>
      </w:pPr>
    </w:p>
    <w:p w14:paraId="37347743" w14:textId="77777777" w:rsidR="003C7B60" w:rsidRDefault="003C7B60" w:rsidP="00A644BA">
      <w:pPr>
        <w:spacing w:after="0"/>
        <w:ind w:firstLine="567"/>
        <w:jc w:val="both"/>
        <w:rPr>
          <w:sz w:val="24"/>
          <w:lang w:val="es-ES_tradnl"/>
        </w:rPr>
      </w:pPr>
    </w:p>
    <w:p w14:paraId="72D01C54" w14:textId="77777777" w:rsidR="003C7B60" w:rsidRDefault="003C7B60" w:rsidP="00A644BA">
      <w:pPr>
        <w:spacing w:after="0"/>
        <w:ind w:firstLine="567"/>
        <w:jc w:val="both"/>
        <w:rPr>
          <w:sz w:val="24"/>
          <w:lang w:val="es-ES_tradnl"/>
        </w:rPr>
      </w:pPr>
    </w:p>
    <w:p w14:paraId="34DBBE4C" w14:textId="77777777" w:rsidR="00625226" w:rsidRDefault="00625226" w:rsidP="007C1ABC">
      <w:pPr>
        <w:tabs>
          <w:tab w:val="right" w:pos="8504"/>
        </w:tabs>
        <w:spacing w:after="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POR EL REINO DE ESPAÑA</w:t>
      </w:r>
      <w:r w:rsidR="007C1ABC">
        <w:rPr>
          <w:sz w:val="24"/>
          <w:lang w:val="es-ES_tradnl"/>
        </w:rPr>
        <w:tab/>
        <w:t>POR LA REPÚBLICA ARGENTINA</w:t>
      </w:r>
    </w:p>
    <w:p w14:paraId="6D204625" w14:textId="77777777" w:rsidR="00A644BA" w:rsidRDefault="00A644BA" w:rsidP="00A644BA">
      <w:pPr>
        <w:spacing w:after="0"/>
        <w:jc w:val="both"/>
        <w:rPr>
          <w:sz w:val="24"/>
          <w:lang w:val="es-ES_tradnl"/>
        </w:rPr>
      </w:pPr>
    </w:p>
    <w:p w14:paraId="0A2FDFCC" w14:textId="77777777" w:rsidR="00A644BA" w:rsidRDefault="00A644BA" w:rsidP="00A644BA">
      <w:pPr>
        <w:spacing w:after="0"/>
        <w:jc w:val="both"/>
        <w:rPr>
          <w:sz w:val="24"/>
          <w:lang w:val="es-ES_tradnl"/>
        </w:rPr>
      </w:pPr>
    </w:p>
    <w:p w14:paraId="69A94D61" w14:textId="77777777" w:rsidR="007C1ABC" w:rsidRDefault="007C1ABC" w:rsidP="00A644BA">
      <w:pPr>
        <w:spacing w:after="0"/>
        <w:jc w:val="both"/>
        <w:rPr>
          <w:sz w:val="24"/>
          <w:lang w:val="es-ES_tradnl"/>
        </w:rPr>
      </w:pPr>
    </w:p>
    <w:p w14:paraId="1F0A6BE4" w14:textId="77777777" w:rsidR="007C1ABC" w:rsidRDefault="007C1ABC" w:rsidP="00A644BA">
      <w:pPr>
        <w:spacing w:after="0"/>
        <w:jc w:val="both"/>
        <w:rPr>
          <w:sz w:val="24"/>
          <w:lang w:val="es-ES_tradnl"/>
        </w:rPr>
      </w:pPr>
    </w:p>
    <w:p w14:paraId="6DD9C1A6" w14:textId="77777777" w:rsidR="007C1ABC" w:rsidRDefault="007C1ABC" w:rsidP="007C1ABC">
      <w:pPr>
        <w:tabs>
          <w:tab w:val="right" w:pos="8504"/>
        </w:tabs>
        <w:spacing w:after="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EL PRESIDENTE DEL GOBIERNO</w:t>
      </w:r>
      <w:r>
        <w:rPr>
          <w:sz w:val="24"/>
          <w:lang w:val="es-ES_tradnl"/>
        </w:rPr>
        <w:tab/>
        <w:t>EL PRESIDENTE DE LA REPÚBLICA</w:t>
      </w:r>
    </w:p>
    <w:p w14:paraId="55E6E382" w14:textId="77777777" w:rsidR="007C1ABC" w:rsidRPr="00A644BA" w:rsidRDefault="007C1ABC" w:rsidP="007C1ABC">
      <w:pPr>
        <w:tabs>
          <w:tab w:val="right" w:pos="8504"/>
        </w:tabs>
        <w:spacing w:after="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PEDRO SÁNCHEZ CASTEJÓN PÉREZ-CASTEJÓN</w:t>
      </w:r>
      <w:r>
        <w:rPr>
          <w:sz w:val="24"/>
          <w:lang w:val="es-ES_tradnl"/>
        </w:rPr>
        <w:tab/>
        <w:t>ALBERTO FERNÁNDEZ</w:t>
      </w:r>
    </w:p>
    <w:sectPr w:rsidR="007C1ABC" w:rsidRPr="00A644B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D5213" w14:textId="77777777" w:rsidR="0084604F" w:rsidRDefault="0084604F" w:rsidP="0070434F">
      <w:pPr>
        <w:spacing w:after="0" w:line="240" w:lineRule="auto"/>
      </w:pPr>
      <w:r>
        <w:separator/>
      </w:r>
    </w:p>
  </w:endnote>
  <w:endnote w:type="continuationSeparator" w:id="0">
    <w:p w14:paraId="5D4C24EB" w14:textId="77777777" w:rsidR="0084604F" w:rsidRDefault="0084604F" w:rsidP="0070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866375"/>
      <w:docPartObj>
        <w:docPartGallery w:val="Page Numbers (Bottom of Page)"/>
        <w:docPartUnique/>
      </w:docPartObj>
    </w:sdtPr>
    <w:sdtEndPr/>
    <w:sdtContent>
      <w:p w14:paraId="23952430" w14:textId="77777777" w:rsidR="0084604F" w:rsidRDefault="0084604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C97">
          <w:rPr>
            <w:noProof/>
          </w:rPr>
          <w:t>2</w:t>
        </w:r>
        <w:r>
          <w:fldChar w:fldCharType="end"/>
        </w:r>
      </w:p>
    </w:sdtContent>
  </w:sdt>
  <w:p w14:paraId="2B9A1D08" w14:textId="77777777" w:rsidR="0084604F" w:rsidRDefault="008460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D744E" w14:textId="77777777" w:rsidR="0084604F" w:rsidRDefault="0084604F" w:rsidP="0070434F">
      <w:pPr>
        <w:spacing w:after="0" w:line="240" w:lineRule="auto"/>
      </w:pPr>
      <w:r>
        <w:separator/>
      </w:r>
    </w:p>
  </w:footnote>
  <w:footnote w:type="continuationSeparator" w:id="0">
    <w:p w14:paraId="588E16E3" w14:textId="77777777" w:rsidR="0084604F" w:rsidRDefault="0084604F" w:rsidP="00704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3BF7"/>
    <w:multiLevelType w:val="hybridMultilevel"/>
    <w:tmpl w:val="E72647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09D0"/>
    <w:multiLevelType w:val="hybridMultilevel"/>
    <w:tmpl w:val="B9268E38"/>
    <w:lvl w:ilvl="0" w:tplc="BEAA1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57184"/>
    <w:multiLevelType w:val="hybridMultilevel"/>
    <w:tmpl w:val="5060047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56A8D"/>
    <w:multiLevelType w:val="hybridMultilevel"/>
    <w:tmpl w:val="B61846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B494F"/>
    <w:multiLevelType w:val="hybridMultilevel"/>
    <w:tmpl w:val="AD74C1C8"/>
    <w:lvl w:ilvl="0" w:tplc="82185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835A1"/>
    <w:multiLevelType w:val="hybridMultilevel"/>
    <w:tmpl w:val="F610619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52062"/>
    <w:multiLevelType w:val="hybridMultilevel"/>
    <w:tmpl w:val="3ED83B3A"/>
    <w:lvl w:ilvl="0" w:tplc="0B763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4F"/>
    <w:rsid w:val="00181FFE"/>
    <w:rsid w:val="001A3C97"/>
    <w:rsid w:val="001C7702"/>
    <w:rsid w:val="002718EC"/>
    <w:rsid w:val="00272BFB"/>
    <w:rsid w:val="002812AD"/>
    <w:rsid w:val="002A5C60"/>
    <w:rsid w:val="002C7882"/>
    <w:rsid w:val="003068BF"/>
    <w:rsid w:val="0033564F"/>
    <w:rsid w:val="003C7B60"/>
    <w:rsid w:val="00425A1A"/>
    <w:rsid w:val="0048226D"/>
    <w:rsid w:val="004B4DC5"/>
    <w:rsid w:val="00505903"/>
    <w:rsid w:val="00625226"/>
    <w:rsid w:val="006751DD"/>
    <w:rsid w:val="006C1655"/>
    <w:rsid w:val="0070434F"/>
    <w:rsid w:val="007467B4"/>
    <w:rsid w:val="00752AC3"/>
    <w:rsid w:val="00761267"/>
    <w:rsid w:val="00764060"/>
    <w:rsid w:val="007C1ABC"/>
    <w:rsid w:val="0084604F"/>
    <w:rsid w:val="008930BF"/>
    <w:rsid w:val="008B1803"/>
    <w:rsid w:val="008E7A22"/>
    <w:rsid w:val="009636D9"/>
    <w:rsid w:val="009657FA"/>
    <w:rsid w:val="009F6CF4"/>
    <w:rsid w:val="00A644BA"/>
    <w:rsid w:val="00B26846"/>
    <w:rsid w:val="00CD1F43"/>
    <w:rsid w:val="00D44048"/>
    <w:rsid w:val="00DD760C"/>
    <w:rsid w:val="00E577E6"/>
    <w:rsid w:val="00EC7930"/>
    <w:rsid w:val="00F46D33"/>
    <w:rsid w:val="00FC506B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442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34F"/>
  </w:style>
  <w:style w:type="paragraph" w:styleId="Piedepgina">
    <w:name w:val="footer"/>
    <w:basedOn w:val="Normal"/>
    <w:link w:val="PiedepginaCar"/>
    <w:uiPriority w:val="99"/>
    <w:unhideWhenUsed/>
    <w:rsid w:val="0070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34F"/>
  </w:style>
  <w:style w:type="paragraph" w:styleId="Prrafodelista">
    <w:name w:val="List Paragraph"/>
    <w:basedOn w:val="Normal"/>
    <w:uiPriority w:val="34"/>
    <w:qFormat/>
    <w:rsid w:val="007043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22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C50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50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50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0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50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34F"/>
  </w:style>
  <w:style w:type="paragraph" w:styleId="Piedepgina">
    <w:name w:val="footer"/>
    <w:basedOn w:val="Normal"/>
    <w:link w:val="PiedepginaCar"/>
    <w:uiPriority w:val="99"/>
    <w:unhideWhenUsed/>
    <w:rsid w:val="0070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34F"/>
  </w:style>
  <w:style w:type="paragraph" w:styleId="Prrafodelista">
    <w:name w:val="List Paragraph"/>
    <w:basedOn w:val="Normal"/>
    <w:uiPriority w:val="34"/>
    <w:qFormat/>
    <w:rsid w:val="007043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22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C50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50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50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0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50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915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 Nunez, Tomas Miquel</dc:creator>
  <cp:lastModifiedBy>Zannini, María Paula</cp:lastModifiedBy>
  <cp:revision>6</cp:revision>
  <cp:lastPrinted>2021-06-07T08:27:00Z</cp:lastPrinted>
  <dcterms:created xsi:type="dcterms:W3CDTF">2021-06-08T19:45:00Z</dcterms:created>
  <dcterms:modified xsi:type="dcterms:W3CDTF">2021-06-08T19:53:00Z</dcterms:modified>
</cp:coreProperties>
</file>